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辽宁职业学院学生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>缓考</w:t>
      </w:r>
      <w:bookmarkStart w:id="0" w:name="_GoBack"/>
      <w:bookmarkEnd w:id="0"/>
      <w:r>
        <w:rPr>
          <w:rFonts w:hint="eastAsia" w:ascii="黑体" w:hAnsi="黑体" w:eastAsia="黑体"/>
          <w:b/>
          <w:sz w:val="32"/>
          <w:szCs w:val="32"/>
        </w:rPr>
        <w:t>申请表</w:t>
      </w:r>
    </w:p>
    <w:p>
      <w:pPr>
        <w:jc w:val="right"/>
        <w:rPr>
          <w:sz w:val="24"/>
          <w:szCs w:val="24"/>
        </w:rPr>
      </w:pPr>
    </w:p>
    <w:p>
      <w:pPr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申请日期：        年     月    日</w:t>
      </w:r>
    </w:p>
    <w:tbl>
      <w:tblPr>
        <w:tblStyle w:val="6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876"/>
        <w:gridCol w:w="1377"/>
        <w:gridCol w:w="288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班级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学号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续考课程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3823" w:hRule="atLeast"/>
        </w:trPr>
        <w:tc>
          <w:tcPr>
            <w:tcW w:w="1384" w:type="dxa"/>
            <w:vAlign w:val="center"/>
          </w:tcPr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请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续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理</w:t>
            </w:r>
          </w:p>
          <w:p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由</w:t>
            </w:r>
          </w:p>
        </w:tc>
        <w:tc>
          <w:tcPr>
            <w:tcW w:w="7138" w:type="dxa"/>
            <w:gridSpan w:val="3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任课教师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班主任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4" w:hRule="atLeast"/>
        </w:trPr>
        <w:tc>
          <w:tcPr>
            <w:tcW w:w="138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二级学院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7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7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教务处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意见</w:t>
            </w:r>
          </w:p>
        </w:tc>
        <w:tc>
          <w:tcPr>
            <w:tcW w:w="288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注： 1.学生考试资格由任课教师确认，续考由班主任、二级学院院长批准。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2.续考理由必须实事求是，诚信为要。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3.续考必须经批准方为有效，未获批准擅自不参加考试将作旷考处理。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4.续考批准后，教务处通知有关任课教师，并随补考学生名单上报。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